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hanging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8820" w:type="dxa"/>
        <w:jc w:val="left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"/>
        <w:gridCol w:w="1202"/>
        <w:gridCol w:w="1845"/>
        <w:gridCol w:w="555"/>
        <w:gridCol w:w="105"/>
        <w:gridCol w:w="1093"/>
        <w:gridCol w:w="1800"/>
        <w:gridCol w:w="1801"/>
      </w:tblGrid>
      <w:tr>
        <w:trPr/>
        <w:tc>
          <w:tcPr>
            <w:tcW w:w="70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b/>
                <w:bCs/>
              </w:rPr>
              <w:t>DOCUMENTO DE FORMALIZAÇÃO DE DEMANDA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FFFFFF" w:val="clear"/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b/>
                <w:bCs/>
              </w:rPr>
              <w:t xml:space="preserve">Nº           </w:t>
            </w:r>
            <w:r>
              <w:rPr>
                <w:rStyle w:val="Fontepargpadro"/>
                <w:b/>
                <w:bCs/>
                <w:color w:val="FF0000"/>
              </w:rPr>
              <w:t>/2026</w:t>
            </w:r>
          </w:p>
          <w:p>
            <w:pPr>
              <w:pStyle w:val="Normal"/>
              <w:widowControl w:val="false"/>
              <w:ind w:right="-284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8819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b/>
                <w:bCs/>
              </w:rPr>
              <w:t>1. Informações Gerais:</w:t>
            </w:r>
          </w:p>
        </w:tc>
      </w:tr>
      <w:tr>
        <w:trPr>
          <w:trHeight w:val="162" w:hRule="atLeast"/>
        </w:trPr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/>
        <w:tc>
          <w:tcPr>
            <w:tcW w:w="3465" w:type="dxa"/>
            <w:gridSpan w:val="3"/>
            <w:vMerge w:val="restart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1"/>
                <w:numId w:val="2"/>
              </w:numPr>
              <w:ind w:left="360" w:right="-115" w:hanging="0"/>
              <w:rPr/>
            </w:pPr>
            <w:r>
              <w:rPr/>
              <w:t xml:space="preserve"> </w:t>
            </w:r>
            <w:r>
              <w:rPr/>
              <w:t>Setor requisitante:</w:t>
            </w:r>
          </w:p>
          <w:p>
            <w:pPr>
              <w:pStyle w:val="Normal"/>
              <w:widowControl w:val="false"/>
              <w:ind w:right="-284" w:hanging="0"/>
              <w:rPr/>
            </w:pPr>
            <w:r>
              <w:rPr/>
            </w:r>
          </w:p>
          <w:p>
            <w:pPr>
              <w:pStyle w:val="Normal"/>
              <w:widowControl w:val="false"/>
              <w:ind w:right="-284" w:hanging="0"/>
              <w:rPr/>
            </w:pPr>
            <w:r>
              <w:rPr/>
            </w:r>
          </w:p>
          <w:p>
            <w:pPr>
              <w:pStyle w:val="Normal"/>
              <w:widowControl w:val="false"/>
              <w:ind w:right="-284" w:hanging="0"/>
              <w:rPr/>
            </w:pPr>
            <w:r>
              <w:rPr/>
            </w:r>
          </w:p>
          <w:p>
            <w:pPr>
              <w:pStyle w:val="Normal"/>
              <w:widowControl w:val="false"/>
              <w:ind w:right="-284" w:hanging="0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1 - SECRETARIA DE GOVERNO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2 - ASSESSORIA JURÍDICA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6 - SECRETARIA DE ADMINISTRAÇÃO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7 - SECRETARIA DE PLANEJAMENTO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8 - SECRETARIA DE FAZENDA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9 - SECRETARIA DE SAÚDE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10 - SECRETARIA DE EDUC., CULTURA E DESPORTO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11 - SECRETARIA DO MEIO AMB. E REC. HÍDRICOS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12 - SECRETARIA DE OBRAS, SERV. E DES. URBANO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b/>
                <w:bCs/>
                <w:color w:val="FF0000"/>
              </w:rPr>
              <w:t xml:space="preserve">  </w:t>
            </w:r>
            <w:r>
              <w:rPr>
                <w:rStyle w:val="Fontepargpadro"/>
                <w:b/>
                <w:bCs/>
                <w:color w:val="FF0000"/>
              </w:rPr>
              <w:t>X</w:t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13 - SECRETARIA DE ASSISTÊNCIA SOCIAL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14 - SECRETARIA DE DESEN. ECONÔMICO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0"/>
                <w:szCs w:val="20"/>
              </w:rPr>
              <w:t>15 - SECRETARIA DE AGRICULTURA E PECUÁRIA</w:t>
            </w:r>
          </w:p>
        </w:tc>
      </w:tr>
      <w:tr>
        <w:trPr/>
        <w:tc>
          <w:tcPr>
            <w:tcW w:w="3465" w:type="dxa"/>
            <w:gridSpan w:val="3"/>
            <w:vMerge w:val="continue"/>
            <w:tcBorders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4694" w:type="dxa"/>
            <w:gridSpan w:val="3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tabs>
                <w:tab w:val="clear" w:pos="720"/>
              </w:tabs>
              <w:ind w:left="330" w:right="-284" w:hanging="330"/>
              <w:rPr/>
            </w:pPr>
            <w:r>
              <w:rPr>
                <w:rStyle w:val="Fontepargpadro"/>
                <w:sz w:val="20"/>
                <w:szCs w:val="20"/>
              </w:rPr>
              <w:t>- SECRETARIA DE POLÍTICA HABITACIONAL</w:t>
            </w:r>
          </w:p>
        </w:tc>
      </w:tr>
      <w:tr>
        <w:trPr/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right="-284" w:hanging="2"/>
              <w:rPr/>
            </w:pPr>
            <w:r>
              <w:rPr/>
            </w:r>
          </w:p>
        </w:tc>
      </w:tr>
      <w:tr>
        <w:trPr/>
        <w:tc>
          <w:tcPr>
            <w:tcW w:w="8819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 xml:space="preserve">1.2. Responsável pela demanda: </w:t>
            </w:r>
            <w:r>
              <w:rPr>
                <w:rStyle w:val="Fontepargpadro"/>
                <w:b/>
                <w:bCs/>
                <w:i/>
                <w:iCs/>
              </w:rPr>
              <w:t>Rosiane Cristina Vieira Néia Storti</w:t>
            </w:r>
            <w:r>
              <w:rPr/>
              <w:t xml:space="preserve">  </w:t>
            </w:r>
          </w:p>
        </w:tc>
      </w:tr>
      <w:tr>
        <w:trPr/>
        <w:tc>
          <w:tcPr>
            <w:tcW w:w="8819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819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hanging="0"/>
              <w:rPr/>
            </w:pPr>
            <w:r>
              <w:rPr/>
              <w:t xml:space="preserve">1.3. Descrição sucinta do objeto: </w:t>
            </w:r>
            <w:r>
              <w:rPr>
                <w:rStyle w:val="Fontepargpadro"/>
                <w:b/>
                <w:bCs/>
              </w:rPr>
              <w:t>AQUISIÇÃO DE KITS DE LANCHES PRONTOS PARA CONSUMO IMEDIATO, DESTINADOS AO ATENDIMENTO DOS USUÁRIOS EM ATIVIDADES SOCIOASSISTENCIAIS, OFICINAS, CURSOS DE QUALIFICAÇÃO PROFISSIONAL, PAIF, ATIVIDADES COM IDOSOS E ENCONTRO COM VÍTIMAS DE VIOLÊNCIA DOMÉSTICA, ATRAVÉS DA SECRETARIA DE ASSISTÊNCIA SOCIAL E POLÍTICAS PARA MULHERES.</w:t>
            </w:r>
          </w:p>
        </w:tc>
      </w:tr>
      <w:tr>
        <w:trPr/>
        <w:tc>
          <w:tcPr>
            <w:tcW w:w="8819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1.3.1. Natureza do Objeto: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Serviço não continuado;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Serviço continuado SEM dedicação exclusiva de mão de obra;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Serviço continuado COM dedicação exclusiva de mão de obra;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color w:val="FF0000"/>
                <w:sz w:val="26"/>
                <w:szCs w:val="26"/>
              </w:rPr>
              <w:t>X</w:t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Material de consumo;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Material permanente / equipamento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Serviços Técnicos Especializados</w:t>
            </w:r>
          </w:p>
        </w:tc>
      </w:tr>
      <w:tr>
        <w:trPr/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1.4. Forma de contratação sugerida: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color w:val="FF0000"/>
                <w:sz w:val="26"/>
                <w:szCs w:val="26"/>
              </w:rPr>
              <w:t>X</w:t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Pregão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Dispensa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Inexigibilidade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Concorrência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Concurso</w:t>
            </w:r>
          </w:p>
        </w:tc>
      </w:tr>
      <w:tr>
        <w:trPr/>
        <w:tc>
          <w:tcPr>
            <w:tcW w:w="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</w:r>
          </w:p>
        </w:tc>
        <w:tc>
          <w:tcPr>
            <w:tcW w:w="8401" w:type="dxa"/>
            <w:gridSpan w:val="7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Leilão</w:t>
            </w:r>
          </w:p>
        </w:tc>
      </w:tr>
      <w:tr>
        <w:trPr/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1.5. Item previsto no plano anual de contratação – PAC:</w:t>
            </w:r>
          </w:p>
        </w:tc>
      </w:tr>
      <w:tr>
        <w:trPr/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6"/>
                <w:szCs w:val="26"/>
              </w:rPr>
              <w:t xml:space="preserve"> </w:t>
            </w:r>
            <w:r>
              <w:rPr>
                <w:rStyle w:val="Fontepargpadro"/>
                <w:color w:val="FF0000"/>
                <w:sz w:val="26"/>
                <w:szCs w:val="26"/>
              </w:rPr>
              <w:t>X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6"/>
                <w:szCs w:val="26"/>
              </w:rPr>
              <w:t>SIM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01" w:type="dxa"/>
            <w:gridSpan w:val="2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sz w:val="26"/>
                <w:szCs w:val="26"/>
              </w:rPr>
              <w:t>NÃO</w:t>
            </w:r>
          </w:p>
        </w:tc>
      </w:tr>
      <w:tr>
        <w:trPr/>
        <w:tc>
          <w:tcPr>
            <w:tcW w:w="1620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2400" w:type="dxa"/>
            <w:gridSpan w:val="2"/>
            <w:tcBorders/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  <w:tc>
          <w:tcPr>
            <w:tcW w:w="3601" w:type="dxa"/>
            <w:gridSpan w:val="2"/>
            <w:tcBorders/>
          </w:tcPr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/>
        <w:tc>
          <w:tcPr>
            <w:tcW w:w="8819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1.5.1. Indicar ID DO ITEM ou justificar o motivo de não estar previsto:</w:t>
            </w:r>
          </w:p>
          <w:p>
            <w:pPr>
              <w:pStyle w:val="Normal"/>
              <w:widowControl w:val="false"/>
              <w:spacing w:lineRule="auto" w:line="276" w:before="0" w:after="0"/>
              <w:ind w:left="-119" w:right="-2" w:hanging="2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:lang w:val="pt-BR" w:eastAsia="pt-BR" w:bidi="ar-SA"/>
              </w:rPr>
            </w:pPr>
            <w:r>
              <w:rPr>
                <w:rFonts w:eastAsia="Merriweather" w:cs="Times New Roman"/>
                <w:kern w:val="0"/>
                <w:sz w:val="24"/>
                <w:szCs w:val="24"/>
                <w:lang w:val="pt-BR" w:eastAsia="pt-BR" w:bidi="ar-SA"/>
              </w:rPr>
              <w:t>O objeto da contratação está previsto no Plano de Contratações Anual de 2026, conforme 3° Alteração da edição, ano: 2026, publicado ao dia 06 de Fevereiro de 2026, de acordo com o detalhamento a seguir:</w:t>
            </w:r>
          </w:p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  <w:tbl>
            <w:tblPr>
              <w:tblW w:w="8595" w:type="dxa"/>
              <w:jc w:val="left"/>
              <w:tblInd w:w="0" w:type="dxa"/>
              <w:tblLayout w:type="fixed"/>
              <w:tblCellMar>
                <w:top w:w="100" w:type="dxa"/>
                <w:left w:w="100" w:type="dxa"/>
                <w:bottom w:w="100" w:type="dxa"/>
                <w:right w:w="100" w:type="dxa"/>
              </w:tblCellMar>
            </w:tblPr>
            <w:tblGrid>
              <w:gridCol w:w="3058"/>
              <w:gridCol w:w="2702"/>
              <w:gridCol w:w="2835"/>
            </w:tblGrid>
            <w:tr>
              <w:trPr/>
              <w:tc>
                <w:tcPr>
                  <w:tcW w:w="30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Pr/>
                  </w:pPr>
                  <w:r>
                    <w:rPr>
                      <w:rStyle w:val="Fontepargpadro"/>
                      <w:b/>
                      <w:bCs/>
                      <w:sz w:val="26"/>
                      <w:szCs w:val="26"/>
                    </w:rPr>
                    <w:t>SECRETARIA</w:t>
                  </w:r>
                </w:p>
              </w:tc>
              <w:tc>
                <w:tcPr>
                  <w:tcW w:w="27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Pr/>
                  </w:pPr>
                  <w:r>
                    <w:rPr>
                      <w:rStyle w:val="Fontepargpadro"/>
                      <w:b/>
                      <w:bCs/>
                      <w:sz w:val="26"/>
                      <w:szCs w:val="26"/>
                    </w:rPr>
                    <w:t>DEMANDA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Pr/>
                  </w:pPr>
                  <w:r>
                    <w:rPr>
                      <w:rStyle w:val="Fontepargpadro"/>
                      <w:b/>
                      <w:bCs/>
                      <w:sz w:val="26"/>
                      <w:szCs w:val="26"/>
                    </w:rPr>
                    <w:t>PÁGINA DA EDIÇÃO</w:t>
                  </w:r>
                </w:p>
              </w:tc>
            </w:tr>
            <w:tr>
              <w:trPr/>
              <w:tc>
                <w:tcPr>
                  <w:tcW w:w="305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Pr/>
                  </w:pPr>
                  <w:r>
                    <w:rPr>
                      <w:rStyle w:val="Fontepargpadro"/>
                      <w:sz w:val="26"/>
                      <w:szCs w:val="26"/>
                    </w:rPr>
                    <w:t>ASSISTÊNCIA SOCIAL</w:t>
                  </w:r>
                </w:p>
              </w:tc>
              <w:tc>
                <w:tcPr>
                  <w:tcW w:w="270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Pr/>
                  </w:pPr>
                  <w:r>
                    <w:rPr>
                      <w:rStyle w:val="Fontepargpadro"/>
                      <w:sz w:val="26"/>
                      <w:szCs w:val="26"/>
                    </w:rPr>
                    <w:t>SASM0019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>
                  <w:pPr>
                    <w:pStyle w:val="Normal"/>
                    <w:widowControl w:val="false"/>
                    <w:ind w:hanging="0"/>
                    <w:jc w:val="center"/>
                    <w:rPr/>
                  </w:pPr>
                  <w:r>
                    <w:rPr>
                      <w:rStyle w:val="Fontepargpadro"/>
                      <w:sz w:val="26"/>
                      <w:szCs w:val="26"/>
                    </w:rPr>
                    <w:t>35</w:t>
                  </w:r>
                </w:p>
              </w:tc>
            </w:tr>
          </w:tbl>
          <w:p>
            <w:pPr>
              <w:pStyle w:val="Normal"/>
              <w:widowControl w:val="false"/>
              <w:ind w:right="-284" w:hang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</w:p>
        </w:tc>
      </w:tr>
      <w:tr>
        <w:trPr>
          <w:trHeight w:val="102" w:hRule="atLeast"/>
        </w:trPr>
        <w:tc>
          <w:tcPr>
            <w:tcW w:w="8819" w:type="dxa"/>
            <w:gridSpan w:val="8"/>
            <w:tcBorders>
              <w:top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</w:r>
          </w:p>
        </w:tc>
      </w:tr>
      <w:tr>
        <w:trPr/>
        <w:tc>
          <w:tcPr>
            <w:tcW w:w="8819" w:type="dxa"/>
            <w:gridSpan w:val="8"/>
            <w:tcBorders/>
          </w:tcPr>
          <w:p>
            <w:pPr>
              <w:pStyle w:val="Normal"/>
              <w:widowControl w:val="false"/>
              <w:ind w:hanging="2"/>
              <w:jc w:val="both"/>
              <w:rPr/>
            </w:pPr>
            <w:r>
              <w:rPr>
                <w:rStyle w:val="Fontepargpadro"/>
                <w:b/>
                <w:bCs/>
              </w:rPr>
              <w:t>2. Justificativa da necessidade da contratação da solução, considerando o Planejamento Estratégico, se for o caso:</w:t>
            </w:r>
          </w:p>
          <w:p>
            <w:pPr>
              <w:pStyle w:val="Normal"/>
              <w:widowControl w:val="false"/>
              <w:spacing w:before="200" w:after="0"/>
              <w:ind w:hanging="2"/>
              <w:jc w:val="both"/>
              <w:rPr/>
            </w:pPr>
            <w:r>
              <w:rPr/>
              <w:t>A Secretaria Municipal de Assistência Social, no exercício de suas atribuições institucionais, por meio dos serviços, programas e projetos sócio assistenciais sob sua gestão, desenvolve ações contínuas voltadas ao atendimento de indivíduos e famílias em situação de vulnerabilidade e risco social, especialmente aqueles em contexto de baixa renda, fragilização de vínculos familiares e comunitários ou com acesso limitado a oportunidades de qualificação e inclusão social. Dentre essas ações, destacam-se atividades coletivas, oficinas socioeducativas e cursos de qualificação profissional, que demandam estrutura adequada de acolhimento aos usuários, incluindo o fornecimento de kits de lanches prontos para consumo imediato durante a participação nas atividades.</w:t>
            </w:r>
          </w:p>
          <w:p>
            <w:pPr>
              <w:pStyle w:val="Normal"/>
              <w:widowControl w:val="false"/>
              <w:spacing w:before="200" w:after="0"/>
              <w:ind w:hanging="2"/>
              <w:jc w:val="both"/>
              <w:rPr/>
            </w:pPr>
            <w:r>
              <w:rPr/>
              <w:t>A disponibilização dos kits de lanches configura medida de apoio essencial à permanência e ao engajamento dos participantes nas ações ofertadas pela política pública de assistência social, contribuindo para a redução de barreiras relacionadas à insegurança alimentar eventual e ao tempo prolongado de permanência nas atividades. Tal suporte favorece a participação efetiva dos usuários, fortalecendo os objetivos de inclusão social, desenvolvimento de potencialidades e ampliação das oportunidades de qualificação profissional.</w:t>
            </w:r>
          </w:p>
          <w:p>
            <w:pPr>
              <w:pStyle w:val="Normal"/>
              <w:widowControl w:val="false"/>
              <w:spacing w:before="200" w:after="0"/>
              <w:ind w:hanging="2"/>
              <w:jc w:val="both"/>
              <w:rPr/>
            </w:pPr>
            <w:r>
              <w:rPr/>
              <w:t>Justifica-se a futura contratação considerando que a Proteção Social Básica e as ações complementares da política sócio assistencial possuem como finalidade prevenir situações de risco social, fortalecer vínculos familiares e comunitários e promover a autonomia dos usuários. As atividades realizadas pela Secretaria destinam-se, prioritariamente, à população em situação de vulnerabilidade social decorrente da pobreza, privação de renda, acesso precário a serviços públicos e fragilização de vínculos afetivos e de pertencimento social, sendo necessário garantir condições mínimas de acolhimento e permanência digna durante a execução dessas ações.</w:t>
            </w:r>
          </w:p>
          <w:p>
            <w:pPr>
              <w:pStyle w:val="Normal"/>
              <w:widowControl w:val="false"/>
              <w:spacing w:before="200" w:after="0"/>
              <w:ind w:hanging="2"/>
              <w:jc w:val="both"/>
              <w:rPr/>
            </w:pPr>
            <w:r>
              <w:rPr/>
              <w:t>Nesse contexto, compete à Secretaria Municipal de Assistência Social planejar e assegurar os meios necessários para a execução regular dos serviços e programas sócio assistenciais, observando as diretrizes do Sistema Único de Assistência Social – SUAS. Nos termos da NOB/SUAS 2012, a política de assistência social deve afiançar seguranças sócio assistenciais, inclusive por meio da oferta de apoios materiais que contribuam para a proteção social dos usuários, viabilizando a participação nas atividades e prevenindo situações de vulnerabilidade decorrentes da ausência de condições básicas durante os atendimentos coletivos.</w:t>
            </w:r>
          </w:p>
          <w:p>
            <w:pPr>
              <w:pStyle w:val="Normal"/>
              <w:widowControl w:val="false"/>
              <w:spacing w:before="200" w:after="0"/>
              <w:ind w:hanging="2"/>
              <w:jc w:val="both"/>
              <w:rPr/>
            </w:pPr>
            <w:r>
              <w:rPr/>
              <w:t>Dessa forma, a contratação para aquisição de kits de lanches prontos, com vigência estimada de 12 (doze) meses, mostra-se necessária para garantir a continuidade das ações desenvolvidas pela Secretaria, evitar interrupções nas atividades sócio assistenciais e assegurar atendimento digno e adequado aos usuários, em consonância com os princípios do interesse público, eficiência administrativa e efetividade das políticas sociais.</w:t>
            </w:r>
          </w:p>
          <w:p>
            <w:pPr>
              <w:pStyle w:val="Normal"/>
              <w:widowControl w:val="false"/>
              <w:spacing w:before="200" w:after="0"/>
              <w:ind w:hanging="2"/>
              <w:jc w:val="both"/>
              <w:rPr/>
            </w:pPr>
            <w:r>
              <w:rPr/>
              <w:t>A modalidade de licitação indicada para a contratação é o pregão, considerando sua adequação para aquisição de bens comuns, bem como a capacidade de promover maior competitividade, transparência, celeridade e economicidade ao processo, em conformidade com os princípios e disposições estabelecidos na Lei nº 14.133/2021.</w:t>
            </w:r>
          </w:p>
        </w:tc>
      </w:tr>
      <w:tr>
        <w:trPr/>
        <w:tc>
          <w:tcPr>
            <w:tcW w:w="8819" w:type="dxa"/>
            <w:gridSpan w:val="8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ind w:right="287" w:hanging="2"/>
        <w:rPr/>
      </w:pPr>
      <w:r>
        <w:rPr/>
      </w:r>
    </w:p>
    <w:p>
      <w:pPr>
        <w:pStyle w:val="Normal"/>
        <w:ind w:right="-284" w:hanging="0"/>
        <w:rPr/>
      </w:pPr>
      <w:r>
        <w:rPr>
          <w:rStyle w:val="Fontepargpadro"/>
          <w:b/>
          <w:bCs/>
        </w:rPr>
        <w:t>3. Quantidade de material da solução a ser contratada:</w:t>
      </w:r>
    </w:p>
    <w:p>
      <w:pPr>
        <w:pStyle w:val="Normal"/>
        <w:widowControl w:val="false"/>
        <w:tabs>
          <w:tab w:val="clear" w:pos="720"/>
          <w:tab w:val="right" w:pos="9071" w:leader="none"/>
        </w:tabs>
        <w:ind w:hanging="0"/>
        <w:jc w:val="both"/>
        <w:rPr>
          <w:b/>
          <w:bCs/>
        </w:rPr>
      </w:pPr>
      <w:r>
        <w:rPr>
          <w:b/>
          <w:bCs/>
        </w:rPr>
      </w:r>
      <w:bookmarkStart w:id="0" w:name="_heading=h.98tgcpg9cv7h"/>
      <w:bookmarkStart w:id="1" w:name="_heading=h.98tgcpg9cv7h"/>
      <w:bookmarkEnd w:id="1"/>
    </w:p>
    <w:p>
      <w:pPr>
        <w:pStyle w:val="Normal"/>
        <w:widowControl w:val="false"/>
        <w:tabs>
          <w:tab w:val="clear" w:pos="720"/>
          <w:tab w:val="right" w:pos="9071" w:leader="none"/>
        </w:tabs>
        <w:ind w:hanging="0"/>
        <w:jc w:val="both"/>
        <w:rPr/>
      </w:pPr>
      <w:bookmarkStart w:id="2" w:name="_heading=h.9ersoubzgz50"/>
      <w:bookmarkEnd w:id="2"/>
      <w:r>
        <w:rPr>
          <w:rStyle w:val="Fontepargpadro"/>
          <w:b/>
          <w:bCs/>
        </w:rPr>
        <w:t>3.1. Materiais</w:t>
      </w:r>
    </w:p>
    <w:p>
      <w:pPr>
        <w:pStyle w:val="Normal"/>
        <w:widowControl w:val="false"/>
        <w:tabs>
          <w:tab w:val="clear" w:pos="720"/>
          <w:tab w:val="right" w:pos="9071" w:leader="none"/>
        </w:tabs>
        <w:ind w:hanging="0"/>
        <w:jc w:val="both"/>
        <w:rPr>
          <w:sz w:val="22"/>
          <w:szCs w:val="22"/>
        </w:rPr>
      </w:pPr>
      <w:r>
        <w:rPr>
          <w:sz w:val="22"/>
          <w:szCs w:val="22"/>
        </w:rPr>
      </w:r>
      <w:bookmarkStart w:id="3" w:name="_heading=h.tin0okslevwe"/>
      <w:bookmarkStart w:id="4" w:name="_heading=h.tin0okslevwe"/>
      <w:bookmarkEnd w:id="4"/>
    </w:p>
    <w:tbl>
      <w:tblPr>
        <w:tblW w:w="9694" w:type="dxa"/>
        <w:jc w:val="center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5"/>
        <w:gridCol w:w="637"/>
        <w:gridCol w:w="3572"/>
        <w:gridCol w:w="1117"/>
        <w:gridCol w:w="935"/>
        <w:gridCol w:w="1092"/>
        <w:gridCol w:w="1615"/>
      </w:tblGrid>
      <w:tr>
        <w:trPr>
          <w:trHeight w:val="934" w:hRule="atLeast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ITEM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UND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DESCRITIVO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CÓDIGO</w:t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CATMAT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QTD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MÉDIA DAS CESTAS</w:t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B4C6E7" w:val="clear"/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b/>
                <w:sz w:val="22"/>
                <w:szCs w:val="22"/>
              </w:rPr>
            </w:pPr>
            <w:r>
              <w:rPr>
                <w:rFonts w:eastAsia="Merriweather"/>
                <w:b/>
                <w:sz w:val="22"/>
                <w:szCs w:val="22"/>
              </w:rPr>
              <w:t>VALOR TOTAL</w:t>
            </w:r>
          </w:p>
        </w:tc>
      </w:tr>
      <w:tr>
        <w:trPr>
          <w:trHeight w:val="340" w:hRule="atLeast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both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  <w:t>01</w:t>
            </w:r>
          </w:p>
        </w:tc>
        <w:tc>
          <w:tcPr>
            <w:tcW w:w="6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both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  <w:t>UND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b/>
                <w:sz w:val="14"/>
                <w:szCs w:val="16"/>
                <w:u w:val="single"/>
              </w:rPr>
            </w:pPr>
            <w:r>
              <w:rPr>
                <w:rFonts w:eastAsia="Merriweather"/>
                <w:b/>
                <w:sz w:val="14"/>
                <w:szCs w:val="16"/>
                <w:u w:val="single"/>
              </w:rPr>
              <w:t>Kit contendo:</w:t>
            </w:r>
          </w:p>
          <w:p>
            <w:pPr>
              <w:pStyle w:val="LO-Normal0"/>
              <w:widowControl w:val="false"/>
              <w:ind w:hanging="2"/>
              <w:jc w:val="center"/>
              <w:rPr/>
            </w:pPr>
            <w:r>
              <w:rPr>
                <w:rStyle w:val="Fontepargpadro"/>
                <w:rFonts w:eastAsia="Merriweather"/>
                <w:b/>
                <w:sz w:val="14"/>
                <w:szCs w:val="16"/>
              </w:rPr>
              <w:t>2 Pacotes de bolinhos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>, diversos sabores (chocolate, coco, laranja ou baunilha), embalagem contendo no mínimo 40 gramas, produzido a partir de matérias primas sàs e limpas, isenta de matéria terrosa, parasitas, detritos de animais e vegetais e em perfeito estado de conservação. Aparência: massa bem assada, com recheio, sem cobertura. Não serão aceitos produtos murchos, mal assados, amassados ou queimados. Validade Mínima 03 meses.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  <w:p>
            <w:pPr>
              <w:pStyle w:val="LO-Normal0"/>
              <w:widowControl w:val="false"/>
              <w:ind w:hanging="2"/>
              <w:jc w:val="center"/>
              <w:rPr/>
            </w:pPr>
            <w:r>
              <w:rPr>
                <w:rStyle w:val="Fontepargpadro"/>
                <w:rFonts w:eastAsia="Merriweather"/>
                <w:b/>
                <w:sz w:val="14"/>
                <w:szCs w:val="16"/>
              </w:rPr>
              <w:t>01 Suco sem corantes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>, fonte de vitaminas e nutrientes, acondicionado em embalagem Tetra Pak, diversos sabores (laranja, morango, uva e maracujá), embalagem contendo no mínimo 200 ml. Validade mínima 03 meses.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  <w:p>
            <w:pPr>
              <w:pStyle w:val="LO-Normal0"/>
              <w:widowControl w:val="false"/>
              <w:ind w:hanging="2"/>
              <w:jc w:val="center"/>
              <w:rPr/>
            </w:pPr>
            <w:r>
              <w:rPr>
                <w:rStyle w:val="Fontepargpadro"/>
                <w:rFonts w:eastAsia="Merriweather"/>
                <w:b/>
                <w:sz w:val="14"/>
                <w:szCs w:val="16"/>
              </w:rPr>
              <w:t>01 Pacote de biscoito salgado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 xml:space="preserve"> (não de polvilho), embalagem mínima de 140 gramas, produzido a partir de matérias primas e limpas, isenta de matéria terrosa, parasitas, detritos animais e vegetais e em perfeito estado de conservação. Aparência: massa bem assada, sem recheio, sem cobertura. Não serão</w:t>
            </w:r>
            <w:r>
              <w:rPr/>
              <w:t xml:space="preserve"> 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>aceitos produtos murchos mal assados ou queimados. Validade mínimas de 03 meses.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  <w:p>
            <w:pPr>
              <w:pStyle w:val="LO-Normal0"/>
              <w:widowControl w:val="false"/>
              <w:ind w:hanging="2"/>
              <w:jc w:val="center"/>
              <w:rPr/>
            </w:pPr>
            <w:r>
              <w:rPr>
                <w:rStyle w:val="Fontepargpadro"/>
                <w:rFonts w:eastAsia="Merriweather"/>
                <w:b/>
                <w:sz w:val="14"/>
                <w:szCs w:val="16"/>
              </w:rPr>
              <w:t>01 Achocolatado Liquido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>. Embalagem mínima: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  <w:t>200 ML, enriquecido com vitaminas e minerais. Embalagem Tetra Pak. Validade Mínima de 03 meses.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  <w:p>
            <w:pPr>
              <w:pStyle w:val="LO-Normal0"/>
              <w:widowControl w:val="false"/>
              <w:ind w:hanging="2"/>
              <w:jc w:val="center"/>
              <w:rPr/>
            </w:pPr>
            <w:r>
              <w:rPr>
                <w:rStyle w:val="Fontepargpadro"/>
                <w:rFonts w:eastAsia="Merriweather"/>
                <w:b/>
                <w:sz w:val="14"/>
                <w:szCs w:val="16"/>
              </w:rPr>
              <w:t>01 Saco plástico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>, tamanho aproximado: 30x40 cm (podendo haver variação de 10% para mais ou para menos) .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  <w:p>
            <w:pPr>
              <w:pStyle w:val="LO-Normal0"/>
              <w:widowControl w:val="false"/>
              <w:ind w:hanging="2"/>
              <w:jc w:val="center"/>
              <w:rPr/>
            </w:pPr>
            <w:r>
              <w:rPr>
                <w:rStyle w:val="Fontepargpadro"/>
                <w:rFonts w:eastAsia="Merriweather"/>
                <w:b/>
                <w:sz w:val="14"/>
                <w:szCs w:val="16"/>
              </w:rPr>
              <w:t>01 Lacre Amarrilho</w:t>
            </w:r>
            <w:r>
              <w:rPr>
                <w:rStyle w:val="Fontepargpadro"/>
                <w:rFonts w:eastAsia="Merriweather"/>
                <w:sz w:val="14"/>
                <w:szCs w:val="16"/>
              </w:rPr>
              <w:t xml:space="preserve"> (arame encapado).</w:t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  <w:p>
            <w:pPr>
              <w:pStyle w:val="LO-Normal0"/>
              <w:widowControl w:val="false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  <w:t>Obs: O kit deverá ser embalado pela empresa contratada.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jc w:val="center"/>
              <w:rPr/>
            </w:pPr>
            <w:r>
              <w:rPr>
                <w:rStyle w:val="Fontepargpadro"/>
                <w:rFonts w:eastAsia="Merriweather"/>
                <w:sz w:val="14"/>
                <w:szCs w:val="22"/>
              </w:rPr>
              <w:t>266199</w:t>
            </w:r>
          </w:p>
        </w:tc>
        <w:tc>
          <w:tcPr>
            <w:tcW w:w="9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4"/>
                <w:szCs w:val="22"/>
              </w:rPr>
            </w:pPr>
            <w:r>
              <w:rPr>
                <w:rFonts w:eastAsia="Merriweather"/>
                <w:sz w:val="14"/>
                <w:szCs w:val="22"/>
              </w:rPr>
              <w:t>27.171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4"/>
                <w:szCs w:val="22"/>
              </w:rPr>
            </w:pPr>
            <w:r>
              <w:rPr>
                <w:rFonts w:eastAsia="Merriweather"/>
                <w:sz w:val="14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  <w:t>R$12,17</w:t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</w:tc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4"/>
                <w:szCs w:val="22"/>
              </w:rPr>
            </w:pPr>
            <w:r>
              <w:rPr>
                <w:rFonts w:eastAsia="Merriweather"/>
                <w:sz w:val="14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  <w:t>R$330.671,07</w:t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  <w:p>
            <w:pPr>
              <w:pStyle w:val="LO-Normal0"/>
              <w:widowControl w:val="false"/>
              <w:spacing w:lineRule="auto" w:line="276"/>
              <w:jc w:val="center"/>
              <w:rPr>
                <w:rFonts w:eastAsia="Merriweather"/>
                <w:sz w:val="16"/>
                <w:szCs w:val="22"/>
              </w:rPr>
            </w:pPr>
            <w:r>
              <w:rPr>
                <w:rFonts w:eastAsia="Merriweather"/>
                <w:sz w:val="16"/>
                <w:szCs w:val="22"/>
              </w:rPr>
            </w:r>
          </w:p>
        </w:tc>
      </w:tr>
      <w:tr>
        <w:trPr>
          <w:trHeight w:val="283" w:hRule="atLeast"/>
        </w:trPr>
        <w:tc>
          <w:tcPr>
            <w:tcW w:w="969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  <w:t>VALOR TOTAL R$330.671,07  (Trezentos e trinta mil, seiscentos e setenta e um reais e sete centavos)</w:t>
            </w:r>
          </w:p>
          <w:p>
            <w:pPr>
              <w:pStyle w:val="LO-Normal0"/>
              <w:widowControl w:val="false"/>
              <w:spacing w:lineRule="auto" w:line="276"/>
              <w:ind w:hanging="2"/>
              <w:jc w:val="center"/>
              <w:rPr>
                <w:rFonts w:eastAsia="Merriweather"/>
                <w:sz w:val="14"/>
                <w:szCs w:val="16"/>
              </w:rPr>
            </w:pPr>
            <w:r>
              <w:rPr>
                <w:rFonts w:eastAsia="Merriweather"/>
                <w:sz w:val="14"/>
                <w:szCs w:val="16"/>
              </w:rPr>
            </w:r>
          </w:p>
        </w:tc>
      </w:tr>
    </w:tbl>
    <w:p>
      <w:pPr>
        <w:pStyle w:val="Normal"/>
        <w:widowControl w:val="false"/>
        <w:tabs>
          <w:tab w:val="clear" w:pos="720"/>
          <w:tab w:val="right" w:pos="9071" w:leader="none"/>
        </w:tabs>
        <w:ind w:hanging="0"/>
        <w:jc w:val="both"/>
        <w:rPr>
          <w:sz w:val="22"/>
          <w:szCs w:val="22"/>
        </w:rPr>
      </w:pPr>
      <w:r>
        <w:rPr>
          <w:sz w:val="22"/>
          <w:szCs w:val="22"/>
        </w:rPr>
      </w:r>
      <w:bookmarkStart w:id="5" w:name="_heading=h.dw74m1tc6h0j"/>
      <w:bookmarkStart w:id="6" w:name="_heading=h.dw74m1tc6h0j"/>
      <w:bookmarkEnd w:id="6"/>
    </w:p>
    <w:p>
      <w:pPr>
        <w:pStyle w:val="Normal"/>
        <w:widowControl w:val="false"/>
        <w:tabs>
          <w:tab w:val="clear" w:pos="720"/>
          <w:tab w:val="right" w:pos="9071" w:leader="none"/>
        </w:tabs>
        <w:ind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071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8651"/>
      </w:tblGrid>
      <w:tr>
        <w:trPr/>
        <w:tc>
          <w:tcPr>
            <w:tcW w:w="9070" w:type="dxa"/>
            <w:gridSpan w:val="2"/>
            <w:tcBorders/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b/>
                <w:bCs/>
              </w:rPr>
              <w:t>4.  Descrição /identificação da necessidade</w:t>
            </w:r>
          </w:p>
        </w:tc>
      </w:tr>
      <w:tr>
        <w:trPr/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8651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Nova contratação</w:t>
            </w:r>
          </w:p>
        </w:tc>
      </w:tr>
      <w:tr>
        <w:trPr/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8651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Nova contratação em vista de extinção contratual*</w:t>
            </w:r>
          </w:p>
        </w:tc>
      </w:tr>
      <w:tr>
        <w:trPr/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>
                <w:rStyle w:val="Fontepargpadro"/>
                <w:b/>
                <w:bCs/>
                <w:color w:val="FF0000"/>
              </w:rPr>
              <w:t>X</w:t>
            </w:r>
          </w:p>
        </w:tc>
        <w:tc>
          <w:tcPr>
            <w:tcW w:w="8651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Nova contratação de acordo com a necessidade da contratante</w:t>
            </w:r>
          </w:p>
        </w:tc>
      </w:tr>
      <w:tr>
        <w:trPr/>
        <w:tc>
          <w:tcPr>
            <w:tcW w:w="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</w:r>
          </w:p>
        </w:tc>
        <w:tc>
          <w:tcPr>
            <w:tcW w:w="8651" w:type="dxa"/>
            <w:tcBorders>
              <w:left w:val="single" w:sz="4" w:space="0" w:color="000000"/>
            </w:tcBorders>
          </w:tcPr>
          <w:p>
            <w:pPr>
              <w:pStyle w:val="Normal"/>
              <w:widowControl w:val="false"/>
              <w:ind w:right="-284" w:hanging="0"/>
              <w:rPr/>
            </w:pPr>
            <w:r>
              <w:rPr/>
              <w:t>Nova contratação em vista da negativa do contratado na renovação</w:t>
            </w:r>
          </w:p>
        </w:tc>
      </w:tr>
    </w:tbl>
    <w:p>
      <w:pPr>
        <w:pStyle w:val="Normal"/>
        <w:ind w:right="-284" w:hanging="0"/>
        <w:rPr/>
      </w:pPr>
      <w:r>
        <w:rPr/>
      </w:r>
    </w:p>
    <w:p>
      <w:pPr>
        <w:pStyle w:val="Normal"/>
        <w:ind w:right="-284" w:hanging="0"/>
        <w:rPr/>
      </w:pPr>
      <w:r>
        <w:rPr/>
        <w:t>4.1. Observações:</w:t>
      </w:r>
    </w:p>
    <w:p>
      <w:pPr>
        <w:pStyle w:val="Normal"/>
        <w:ind w:right="-284" w:hanging="2"/>
        <w:rPr/>
      </w:pPr>
      <w:r>
        <w:rPr/>
        <w:t>CONTRATO (SE EXTINTO): Não se aplica</w:t>
      </w:r>
    </w:p>
    <w:p>
      <w:pPr>
        <w:pStyle w:val="Normal"/>
        <w:ind w:right="-284" w:hanging="2"/>
        <w:rPr/>
      </w:pPr>
      <w:r>
        <w:rPr/>
        <w:t>VIGÊNCIA: Não se aplica</w:t>
      </w:r>
    </w:p>
    <w:p>
      <w:pPr>
        <w:pStyle w:val="Normal"/>
        <w:ind w:right="-284" w:hanging="2"/>
        <w:rPr/>
      </w:pPr>
      <w:r>
        <w:rPr/>
        <w:t>CONTRATADO: Não se aplica</w:t>
      </w:r>
    </w:p>
    <w:p>
      <w:pPr>
        <w:pStyle w:val="Normal"/>
        <w:ind w:right="-284" w:hanging="2"/>
        <w:rPr/>
      </w:pPr>
      <w:r>
        <w:rPr/>
      </w:r>
    </w:p>
    <w:p>
      <w:pPr>
        <w:pStyle w:val="Normal"/>
        <w:pBdr>
          <w:bottom w:val="single" w:sz="4" w:space="1" w:color="000000"/>
        </w:pBdr>
        <w:ind w:right="-284" w:hanging="2"/>
        <w:rPr/>
      </w:pPr>
      <w:r>
        <w:rPr/>
        <w:t xml:space="preserve">5. </w:t>
      </w:r>
      <w:r>
        <w:rPr>
          <w:rStyle w:val="Fontepargpadro"/>
          <w:b/>
          <w:bCs/>
        </w:rPr>
        <w:t>Previsão de data em que deve ser assinado o instrumento contratual: MAIO</w:t>
      </w:r>
      <w:r>
        <w:rPr/>
        <w:t xml:space="preserve"> 2026</w:t>
      </w:r>
    </w:p>
    <w:p>
      <w:pPr>
        <w:pStyle w:val="Normal"/>
        <w:ind w:right="-284" w:hanging="2"/>
        <w:rPr/>
      </w:pPr>
      <w:r>
        <w:rPr/>
      </w:r>
    </w:p>
    <w:p>
      <w:pPr>
        <w:pStyle w:val="Normal"/>
        <w:ind w:right="-284" w:hanging="2"/>
        <w:jc w:val="both"/>
        <w:rPr/>
      </w:pPr>
      <w:r>
        <w:rPr>
          <w:rStyle w:val="Fontepargpadro"/>
          <w:b/>
          <w:bCs/>
        </w:rPr>
        <w:t>6. Nível de urgência da demanda/grau de prioridade:</w:t>
      </w:r>
      <w:r>
        <w:rPr/>
        <w:t xml:space="preserve"> </w:t>
      </w:r>
      <w:r>
        <w:rPr>
          <w:rStyle w:val="Fontepargpadro"/>
          <w:b/>
          <w:bCs/>
          <w:color w:val="FF0000"/>
        </w:rPr>
        <w:t>ALTO</w:t>
      </w:r>
    </w:p>
    <w:p>
      <w:pPr>
        <w:pStyle w:val="Normal"/>
        <w:ind w:right="-284" w:hanging="2"/>
        <w:jc w:val="both"/>
        <w:rPr>
          <w:b/>
          <w:bCs/>
          <w:color w:val="FF0000"/>
        </w:rPr>
      </w:pPr>
      <w:r>
        <w:rPr>
          <w:b/>
          <w:bCs/>
          <w:color w:val="FF0000"/>
        </w:rPr>
      </w:r>
    </w:p>
    <w:p>
      <w:pPr>
        <w:pStyle w:val="Normal"/>
        <w:ind w:right="-284" w:hanging="2"/>
        <w:jc w:val="both"/>
        <w:rPr/>
      </w:pPr>
      <w:r>
        <w:rPr>
          <w:rStyle w:val="Fontepargpadro"/>
          <w:b/>
          <w:bCs/>
        </w:rPr>
        <w:t xml:space="preserve">7. </w:t>
      </w:r>
      <w:r>
        <w:rPr>
          <w:rStyle w:val="Fontepargpadro"/>
          <w:b/>
          <w:bCs/>
          <w:shd w:fill="FFFFFF" w:val="clear"/>
        </w:rPr>
        <w:t xml:space="preserve"> Requisitos da contratação</w:t>
      </w:r>
    </w:p>
    <w:p>
      <w:pPr>
        <w:pStyle w:val="Normal"/>
        <w:tabs>
          <w:tab w:val="clear" w:pos="720"/>
          <w:tab w:val="left" w:pos="426" w:leader="none"/>
        </w:tabs>
        <w:ind w:right="-426" w:hanging="2"/>
        <w:jc w:val="both"/>
        <w:rPr/>
      </w:pPr>
      <w:r>
        <w:rPr>
          <w:rStyle w:val="Fontepargpadro"/>
          <w:shd w:fill="FFFFFF" w:val="clear"/>
        </w:rPr>
        <w:t>7.1. Garantia do Produto:  Validade Mínima de 03 meses</w:t>
      </w:r>
    </w:p>
    <w:p>
      <w:pPr>
        <w:pStyle w:val="Normal"/>
        <w:tabs>
          <w:tab w:val="clear" w:pos="720"/>
          <w:tab w:val="left" w:pos="426" w:leader="none"/>
        </w:tabs>
        <w:ind w:right="-426" w:hanging="0"/>
        <w:jc w:val="both"/>
        <w:rPr/>
      </w:pPr>
      <w:r>
        <w:rPr>
          <w:rStyle w:val="Fontepargpadro"/>
          <w:shd w:fill="FFFFFF" w:val="clear"/>
        </w:rPr>
        <w:t>7.2. Local da entrega: CRAS</w:t>
      </w:r>
    </w:p>
    <w:p>
      <w:pPr>
        <w:pStyle w:val="Normal"/>
        <w:tabs>
          <w:tab w:val="clear" w:pos="720"/>
          <w:tab w:val="left" w:pos="426" w:leader="none"/>
        </w:tabs>
        <w:ind w:right="-426" w:hanging="0"/>
        <w:jc w:val="both"/>
        <w:rPr/>
      </w:pPr>
      <w:r>
        <w:rPr>
          <w:rStyle w:val="Fontepargpadro"/>
          <w:shd w:fill="FFFFFF" w:val="clear"/>
        </w:rPr>
        <w:t xml:space="preserve">7.3. Endereço de entrega: Rua Dino Veiga, 29, Centro, CEP 86.360-000 – Bandeirantes – PR.  </w:t>
      </w:r>
    </w:p>
    <w:p>
      <w:pPr>
        <w:pStyle w:val="Normal"/>
        <w:tabs>
          <w:tab w:val="clear" w:pos="720"/>
        </w:tabs>
        <w:ind w:left="426" w:hanging="437"/>
        <w:rPr/>
      </w:pPr>
      <w:r>
        <w:rPr>
          <w:rStyle w:val="Fontepargpadro"/>
          <w:shd w:fill="FFFFFF" w:val="clear"/>
        </w:rPr>
        <w:t>7.4. Horário da Entrega: 07h30 às 11h00 e das 13h00 à 16h30</w:t>
      </w:r>
    </w:p>
    <w:p>
      <w:pPr>
        <w:pStyle w:val="Normal"/>
        <w:tabs>
          <w:tab w:val="clear" w:pos="720"/>
        </w:tabs>
        <w:spacing w:before="0" w:after="200"/>
        <w:ind w:left="426" w:hanging="437"/>
        <w:rPr/>
      </w:pPr>
      <w:r>
        <w:rPr>
          <w:rStyle w:val="Fontepargpadro"/>
          <w:shd w:fill="FFFFFF" w:val="clear"/>
        </w:rPr>
        <w:t>7.5. Data da vigência do contrato: 365 (trezentos e sessenta e cinco) dias, podendo ser prorrogado por igual período.</w:t>
      </w:r>
    </w:p>
    <w:p>
      <w:pPr>
        <w:pStyle w:val="Normal"/>
        <w:ind w:right="-284" w:hanging="2"/>
        <w:rPr/>
      </w:pPr>
      <w:r>
        <w:rPr>
          <w:rStyle w:val="Fontepargpadro"/>
          <w:b/>
          <w:bCs/>
        </w:rPr>
        <w:t>8. Créditos orçamentários</w:t>
      </w:r>
    </w:p>
    <w:p>
      <w:pPr>
        <w:pStyle w:val="Normal"/>
        <w:ind w:right="-284" w:hanging="2"/>
        <w:rPr/>
      </w:pPr>
      <w:r>
        <w:rPr/>
        <w:t>8.1.Valor estimado da contratação:</w:t>
      </w:r>
      <w:r>
        <w:rPr>
          <w:rStyle w:val="Fontepargpadro"/>
          <w:rFonts w:eastAsia="Merriweather"/>
          <w:sz w:val="18"/>
          <w:szCs w:val="16"/>
        </w:rPr>
        <w:t xml:space="preserve"> R</w:t>
      </w:r>
      <w:r>
        <w:rPr>
          <w:rStyle w:val="Fontepargpadro"/>
          <w:rFonts w:eastAsia="Merriweather"/>
          <w:sz w:val="22"/>
          <w:szCs w:val="22"/>
        </w:rPr>
        <w:t>$330.671,07</w:t>
      </w:r>
      <w:r>
        <w:rPr>
          <w:rStyle w:val="Fontepargpadro"/>
          <w:rFonts w:eastAsia="Merriweather"/>
          <w:sz w:val="18"/>
          <w:szCs w:val="16"/>
        </w:rPr>
        <w:t xml:space="preserve"> </w:t>
      </w:r>
      <w:r>
        <w:rPr>
          <w:rStyle w:val="Fontepargpadro"/>
          <w:rFonts w:eastAsia="Merriweather"/>
          <w:sz w:val="22"/>
          <w:szCs w:val="22"/>
        </w:rPr>
        <w:t>(Trezentos e trinta mil, seiscentos e setenta e um reais e sete centavos)</w:t>
      </w:r>
    </w:p>
    <w:p>
      <w:pPr>
        <w:pStyle w:val="Normal"/>
        <w:ind w:right="-284" w:hanging="2"/>
        <w:rPr/>
      </w:pPr>
      <w:r>
        <w:rPr/>
        <w:t>8.2. Valor estimado custeio: R$ 0,00</w:t>
      </w:r>
    </w:p>
    <w:p>
      <w:pPr>
        <w:pStyle w:val="Normal"/>
        <w:ind w:right="-284" w:hanging="2"/>
        <w:rPr/>
      </w:pPr>
      <w:r>
        <w:rPr/>
        <w:t>8.3. Valor estimado investimento: R$ 0,00</w:t>
      </w:r>
    </w:p>
    <w:p>
      <w:pPr>
        <w:pStyle w:val="Normal"/>
        <w:ind w:right="-284" w:hanging="2"/>
        <w:rPr>
          <w:shd w:fill="FFFFFF" w:val="clear"/>
        </w:rPr>
      </w:pPr>
      <w:r>
        <w:rPr>
          <w:shd w:fill="FFFFFF" w:val="clear"/>
        </w:rPr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 </w:t>
      </w:r>
      <w:r>
        <w:rPr>
          <w:sz w:val="22"/>
          <w:szCs w:val="22"/>
          <w:shd w:fill="FFFFFF" w:val="clear"/>
        </w:rPr>
        <w:t>352 – 10.001.08.122.0469.2469.3.3.90.30.00 – MATERIAL DE CONSUMO -00777/01014.11.99.07.21.2.749.0000 - MANUTENÇÃO DA SECRETARIA DE AÇÃO SOCIAL</w:t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 </w:t>
      </w:r>
      <w:r>
        <w:rPr>
          <w:sz w:val="22"/>
          <w:szCs w:val="22"/>
          <w:shd w:fill="FFFFFF" w:val="clear"/>
        </w:rPr>
        <w:t>352 - 10.001.08.122.0469.2469.3.3.90.30.00 – MATERIAL DE CONSUMO -04013/01017.12.06.00.00.2.669.3120 - MANUTENÇÃO DA SECRETARIA DE AÇÃO SOCIAL</w:t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 </w:t>
      </w:r>
      <w:r>
        <w:rPr>
          <w:sz w:val="22"/>
          <w:szCs w:val="22"/>
          <w:shd w:fill="FFFFFF" w:val="clear"/>
        </w:rPr>
        <w:t>374 – 10.002.08.241.0471.2471.3.3.90.30.00 - MATERIAL DE CONSUMO 04018/01011.09.99.05.18.1.749.0000 - FUNDO MUNICIPAL DOS DIREITOS DO IDOSO – FMDI</w:t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</w:t>
      </w:r>
      <w:r>
        <w:rPr>
          <w:sz w:val="22"/>
          <w:szCs w:val="22"/>
          <w:shd w:fill="FFFFFF" w:val="clear"/>
        </w:rPr>
        <w:t>382 – 10.002.08.243.0472.6472.3.3.90.3.00 - MATERIAL DE CONSUMO 04023/01011.09.04.05.18.2.661.0000 - FUNDO M S C ADOLESCENTE - ECA/FMDCA – IRRF</w:t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</w:t>
      </w:r>
      <w:r>
        <w:rPr>
          <w:sz w:val="22"/>
          <w:szCs w:val="22"/>
          <w:shd w:fill="FFFFFF" w:val="clear"/>
        </w:rPr>
        <w:t>403 – 10.002.08.244.0475.2475.3.3.90.30.00 - MATERIAL DE CONSUMO 04005/00941.09.06.06.26.1.660.0000 - BLOCO PROTEÇÃO SOCIAL ESPECIAL DE MEDIA COMPLEXIDADE</w:t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 </w:t>
      </w:r>
      <w:r>
        <w:rPr>
          <w:sz w:val="22"/>
          <w:szCs w:val="22"/>
          <w:shd w:fill="FFFFFF" w:val="clear"/>
        </w:rPr>
        <w:t>422 – 10.002.08.244.0478.2478.3.3.90.30.00 - MATERIAL DE CONSUMO 04000/00940.09.06.06.25.1.660.0000 - BLOCO GESTÃO DO PROGRAMA BOLSA FAMÍLIA E CADASTRO UNICO - PORTARIA 113/2015</w:t>
      </w:r>
    </w:p>
    <w:p>
      <w:pPr>
        <w:pStyle w:val="Normal"/>
        <w:numPr>
          <w:ilvl w:val="0"/>
          <w:numId w:val="4"/>
        </w:numPr>
        <w:ind w:left="720" w:right="-284" w:hanging="2"/>
        <w:jc w:val="both"/>
        <w:rPr>
          <w:sz w:val="22"/>
          <w:szCs w:val="22"/>
        </w:rPr>
      </w:pPr>
      <w:r>
        <w:rPr>
          <w:sz w:val="22"/>
          <w:szCs w:val="22"/>
          <w:shd w:fill="FFFFFF" w:val="clear"/>
        </w:rPr>
        <w:t xml:space="preserve">    </w:t>
      </w:r>
      <w:r>
        <w:rPr>
          <w:sz w:val="22"/>
          <w:szCs w:val="22"/>
          <w:shd w:fill="FFFFFF" w:val="clear"/>
        </w:rPr>
        <w:t>429 – 10.003.08.244.0479.2479.3.3.90.30.00 – MATERIAL DE CONSUMO 00000/00000/01.07.00.00.1.500.0000</w:t>
      </w:r>
    </w:p>
    <w:p>
      <w:pPr>
        <w:pStyle w:val="Normal"/>
        <w:ind w:right="-284" w:hanging="0"/>
        <w:rPr/>
      </w:pPr>
      <w:r>
        <w:rPr/>
      </w:r>
    </w:p>
    <w:p>
      <w:pPr>
        <w:pStyle w:val="Normal"/>
        <w:ind w:right="-284" w:hanging="2"/>
        <w:rPr/>
      </w:pPr>
      <w:r>
        <w:rPr>
          <w:rStyle w:val="Fontepargpadro"/>
          <w:b/>
          <w:bCs/>
        </w:rPr>
        <w:t>9. Indicação do(s) integrante(s) da equipe de planejamento</w:t>
      </w:r>
    </w:p>
    <w:p>
      <w:pPr>
        <w:pStyle w:val="Normal"/>
        <w:ind w:right="-284" w:hanging="2"/>
        <w:rPr/>
      </w:pPr>
      <w:r>
        <w:rPr>
          <w:rStyle w:val="Fontepargpadro"/>
          <w:b/>
          <w:bCs/>
        </w:rPr>
        <w:t xml:space="preserve">Fiscal de Contrato: </w:t>
      </w:r>
      <w:r>
        <w:rPr/>
        <w:t>Cirlei Socorro Justo dos Santos – Matrícula n. º 3375</w:t>
      </w:r>
    </w:p>
    <w:p>
      <w:pPr>
        <w:pStyle w:val="Normal"/>
        <w:ind w:right="-284" w:hanging="2"/>
        <w:rPr/>
      </w:pPr>
      <w:r>
        <w:rPr>
          <w:rStyle w:val="Fontepargpadro"/>
          <w:b/>
          <w:bCs/>
        </w:rPr>
        <w:t xml:space="preserve">Gestor do contrato: </w:t>
      </w:r>
      <w:r>
        <w:rPr/>
        <w:t>Rosiane Cristina Vieira Néia Storti – Matrícula n. º 5049</w:t>
      </w:r>
    </w:p>
    <w:p>
      <w:pPr>
        <w:pStyle w:val="Normal"/>
        <w:ind w:right="-284" w:hanging="2"/>
        <w:rPr/>
      </w:pPr>
      <w:r>
        <w:rPr/>
      </w:r>
    </w:p>
    <w:p>
      <w:pPr>
        <w:pStyle w:val="Normal"/>
        <w:ind w:right="-284" w:hanging="2"/>
        <w:jc w:val="right"/>
        <w:rPr/>
      </w:pPr>
      <w:r>
        <w:rPr/>
        <w:t>Bandeirantes (PR), 04 de Fevereiro de 2026</w:t>
      </w:r>
    </w:p>
    <w:p>
      <w:pPr>
        <w:pStyle w:val="Normal"/>
        <w:ind w:right="-284" w:hanging="2"/>
        <w:jc w:val="center"/>
        <w:rPr/>
      </w:pPr>
      <w:r>
        <w:rPr/>
      </w:r>
    </w:p>
    <w:p>
      <w:pPr>
        <w:pStyle w:val="Normal"/>
        <w:ind w:right="-284" w:hanging="2"/>
        <w:jc w:val="center"/>
        <w:rPr/>
      </w:pPr>
      <w:r>
        <w:rPr/>
      </w:r>
    </w:p>
    <w:p>
      <w:pPr>
        <w:pStyle w:val="Normal"/>
        <w:ind w:right="-284" w:hanging="2"/>
        <w:jc w:val="center"/>
        <w:rPr/>
      </w:pPr>
      <w:r>
        <w:rPr/>
      </w:r>
    </w:p>
    <w:p>
      <w:pPr>
        <w:pStyle w:val="Normal"/>
        <w:ind w:right="-284" w:hanging="2"/>
        <w:rPr/>
      </w:pPr>
      <w:r>
        <w:rPr/>
      </w:r>
      <w:bookmarkStart w:id="7" w:name="_heading=h.xynse5npkxb0"/>
      <w:bookmarkStart w:id="8" w:name="_heading=h.xynse5npkxb0"/>
      <w:bookmarkEnd w:id="8"/>
    </w:p>
    <w:p>
      <w:pPr>
        <w:pStyle w:val="Normal"/>
        <w:tabs>
          <w:tab w:val="clear" w:pos="720"/>
          <w:tab w:val="left" w:pos="776" w:leader="none"/>
          <w:tab w:val="left" w:pos="848" w:leader="none"/>
        </w:tabs>
        <w:ind w:left="281" w:right="-426" w:hanging="0"/>
        <w:jc w:val="center"/>
        <w:rPr/>
      </w:pPr>
      <w:r>
        <w:rPr/>
      </w:r>
    </w:p>
    <w:p>
      <w:pPr>
        <w:pStyle w:val="Normal"/>
        <w:tabs>
          <w:tab w:val="clear" w:pos="720"/>
          <w:tab w:val="left" w:pos="776" w:leader="none"/>
          <w:tab w:val="left" w:pos="848" w:leader="none"/>
        </w:tabs>
        <w:ind w:left="281" w:right="-426" w:hanging="0"/>
        <w:jc w:val="center"/>
        <w:rPr/>
      </w:pPr>
      <w:r>
        <w:rPr/>
        <w:t>_______________________________________</w:t>
      </w:r>
    </w:p>
    <w:p>
      <w:pPr>
        <w:pStyle w:val="Normal"/>
        <w:tabs>
          <w:tab w:val="clear" w:pos="720"/>
          <w:tab w:val="left" w:pos="778" w:leader="none"/>
          <w:tab w:val="left" w:pos="850" w:leader="none"/>
        </w:tabs>
        <w:ind w:left="283" w:right="-426" w:hanging="0"/>
        <w:jc w:val="center"/>
        <w:rPr/>
      </w:pPr>
      <w:r>
        <w:rPr>
          <w:rStyle w:val="Fontepargpadro"/>
          <w:b/>
          <w:bCs/>
        </w:rPr>
        <w:t>Rosiane Cristina Vieira Néia Storti</w:t>
      </w:r>
    </w:p>
    <w:p>
      <w:pPr>
        <w:pStyle w:val="Normal"/>
        <w:tabs>
          <w:tab w:val="clear" w:pos="720"/>
          <w:tab w:val="left" w:pos="776" w:leader="none"/>
          <w:tab w:val="left" w:pos="848" w:leader="none"/>
        </w:tabs>
        <w:ind w:left="281" w:right="-426" w:hanging="0"/>
        <w:jc w:val="center"/>
        <w:rPr/>
      </w:pPr>
      <w:r>
        <w:rPr/>
        <w:t>Secretária Municipal de Assistência Social e Políticas para Mulheres</w:t>
      </w:r>
    </w:p>
    <w:p>
      <w:pPr>
        <w:pStyle w:val="Normal"/>
        <w:tabs>
          <w:tab w:val="clear" w:pos="720"/>
          <w:tab w:val="left" w:pos="776" w:leader="none"/>
          <w:tab w:val="left" w:pos="848" w:leader="none"/>
        </w:tabs>
        <w:ind w:left="281" w:right="-426" w:hanging="0"/>
        <w:jc w:val="center"/>
        <w:rPr/>
      </w:pPr>
      <w:r>
        <w:rPr/>
        <w:t>Portaria 14.859/2025</w:t>
      </w:r>
    </w:p>
    <w:p>
      <w:pPr>
        <w:pStyle w:val="Normal"/>
        <w:tabs>
          <w:tab w:val="clear" w:pos="720"/>
          <w:tab w:val="left" w:pos="776" w:leader="none"/>
          <w:tab w:val="left" w:pos="848" w:leader="none"/>
        </w:tabs>
        <w:ind w:left="281" w:right="-426" w:hanging="0"/>
        <w:jc w:val="center"/>
        <w:rPr/>
      </w:pPr>
      <w:r>
        <w:rPr/>
      </w:r>
    </w:p>
    <w:p>
      <w:pPr>
        <w:pStyle w:val="Normal"/>
        <w:ind w:right="-2" w:hanging="2"/>
        <w:jc w:val="both"/>
        <w:rPr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0" w:right="1133" w:gutter="0" w:header="720" w:top="2409" w:footer="720" w:bottom="992"/>
      <w:pgNumType w:start="1"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Calibri Light">
    <w:charset w:val="00"/>
    <w:family w:val="roman"/>
    <w:pitch w:val="variable"/>
  </w:font>
  <w:font w:name="Wingdings">
    <w:charset w:val="00"/>
    <w:family w:val="roman"/>
    <w:pitch w:val="variable"/>
  </w:font>
  <w:font w:name="Courier New">
    <w:charset w:val="00"/>
    <w:family w:val="roman"/>
    <w:pitch w:val="variable"/>
  </w:font>
  <w:font w:name="Symbol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Nyala">
    <w:charset w:val="00"/>
    <w:family w:val="roman"/>
    <w:pitch w:val="variable"/>
  </w:font>
  <w:font w:name="Georgia">
    <w:charset w:val="00"/>
    <w:family w:val="roman"/>
    <w:pitch w:val="variable"/>
  </w:font>
  <w:font w:name="Algerian">
    <w:altName w:val="comic"/>
    <w:charset w:val="00"/>
    <w:family w:val="roman"/>
    <w:pitch w:val="variable"/>
  </w:font>
  <w:font w:name="BankGothic Lt BT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/>
    </w:pPr>
    <w:r>
      <w:rPr>
        <w:rStyle w:val="Fontepargpadro"/>
        <w:rFonts w:eastAsia="BankGothic Lt BT" w:cs="BankGothic Lt BT" w:ascii="BankGothic Lt BT" w:hAnsi="BankGothic Lt BT"/>
        <w:sz w:val="14"/>
        <w:szCs w:val="14"/>
      </w:rPr>
      <w:t>Rua Frei Rafael Proner  nº 1457 – Caixa Postal 281 – CEP 86.360-000 –– Tel: (43) 3542-4525 – Fax 3542-3322  e CNPJ 76.235.753/0001-48</w:t>
    </w:r>
  </w:p>
  <w:p>
    <w:pPr>
      <w:pStyle w:val="Normal"/>
      <w:tabs>
        <w:tab w:val="clear" w:pos="720"/>
        <w:tab w:val="center" w:pos="4252" w:leader="none"/>
        <w:tab w:val="right" w:pos="8504" w:leader="none"/>
      </w:tabs>
      <w:ind w:hanging="2"/>
      <w:rPr>
        <w:color w:val="000000"/>
      </w:rPr>
    </w:pPr>
    <w:r>
      <w:rPr>
        <w:color w:val="000000"/>
      </w:rPr>
    </w:r>
  </w:p>
  <w:p>
    <w:pPr>
      <w:pStyle w:val="Normal"/>
      <w:jc w:val="both"/>
      <w:rPr>
        <w:sz w:val="14"/>
        <w:szCs w:val="14"/>
      </w:rPr>
    </w:pPr>
    <w:r>
      <w:rPr>
        <w:sz w:val="14"/>
        <w:szCs w:val="14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20"/>
        <w:tab w:val="center" w:pos="4252" w:leader="none"/>
        <w:tab w:val="right" w:pos="8504" w:leader="none"/>
      </w:tabs>
      <w:ind w:hanging="0"/>
      <w:rPr>
        <w:color w:val="000000"/>
      </w:rPr>
    </w:pPr>
    <w:r>
      <w:rPr>
        <w:color w:val="000000"/>
      </w:rPr>
      <w:drawing>
        <wp:anchor behindDoc="1" distT="0" distB="0" distL="0" distR="0" simplePos="0" locked="0" layoutInCell="0" allowOverlap="1" relativeHeight="6">
          <wp:simplePos x="0" y="0"/>
          <wp:positionH relativeFrom="margin">
            <wp:posOffset>-657225</wp:posOffset>
          </wp:positionH>
          <wp:positionV relativeFrom="paragraph">
            <wp:posOffset>-190500</wp:posOffset>
          </wp:positionV>
          <wp:extent cx="1027430" cy="1053465"/>
          <wp:effectExtent l="0" t="0" r="0" b="0"/>
          <wp:wrapNone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7430" cy="1053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635" distB="0" distL="0" distR="635" simplePos="0" locked="0" layoutInCell="0" allowOverlap="1" relativeHeight="15">
              <wp:simplePos x="0" y="0"/>
              <wp:positionH relativeFrom="column">
                <wp:posOffset>254000</wp:posOffset>
              </wp:positionH>
              <wp:positionV relativeFrom="paragraph">
                <wp:posOffset>-323850</wp:posOffset>
              </wp:positionV>
              <wp:extent cx="5528310" cy="1162685"/>
              <wp:effectExtent l="0" t="635" r="635" b="0"/>
              <wp:wrapNone/>
              <wp:docPr id="2" name="Retângulo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28160" cy="1162800"/>
                      </a:xfrm>
                      <a:custGeom>
                        <a:avLst/>
                        <a:gdLst>
                          <a:gd name="textAreaLeft" fmla="*/ 0 w 3134160"/>
                          <a:gd name="textAreaRight" fmla="*/ 3136320 w 3134160"/>
                          <a:gd name="textAreaTop" fmla="*/ 0 h 659160"/>
                          <a:gd name="textAreaBottom" fmla="*/ 661320 h 659160"/>
                        </a:gdLst>
                        <a:ahLst/>
                        <a:rect l="textAreaLeft" t="textAreaTop" r="textAreaRight" b="textAreaBottom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  <a:lnTo>
                              <a:pt x="21600" y="21600"/>
                            </a:lnTo>
                            <a:lnTo>
                              <a:pt x="0" y="21600"/>
                            </a:lnTo>
                            <a:close/>
                          </a:path>
                        </a:pathLst>
                      </a:custGeom>
                      <a:noFill/>
                      <a:ln w="1260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360" w:after="0"/>
                            <w:ind w:left="1" w:hanging="3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36"/>
                              <w:szCs w:val="28"/>
                            </w:rPr>
                            <w:t>PREFEITURA MUNICIPAL DE BANDEIRANTES</w:t>
                          </w:r>
                        </w:p>
                        <w:p>
                          <w:pPr>
                            <w:pStyle w:val="Contedodoquadro"/>
                            <w:spacing w:before="120" w:after="0"/>
                            <w:ind w:left="1" w:hanging="3"/>
                            <w:jc w:val="center"/>
                            <w:rPr/>
                          </w:pPr>
                          <w:r>
                            <w:rPr>
                              <w:rFonts w:eastAsia="Algerian" w:cs="Algerian" w:ascii="Algerian" w:hAnsi="Algerian"/>
                              <w:i/>
                              <w:color w:val="000000"/>
                              <w:sz w:val="36"/>
                              <w:szCs w:val="28"/>
                            </w:rPr>
                            <w:t>ESTADO DO PARANÁ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/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3">
    <w:lvl w:ilvl="0">
      <w:start w:val="16"/>
      <w:numFmt w:val="decimal"/>
      <w:lvlText w:val="%1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4"/>
        <w:szCs w:val="24"/>
        <w:lang w:val="pt-BR" w:eastAsia="pt-BR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uto" w:line="240" w:before="0" w:after="0"/>
      <w:ind w:hanging="1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pt-BR" w:eastAsia="pt-BR" w:bidi="ar-SA"/>
    </w:rPr>
  </w:style>
  <w:style w:type="paragraph" w:styleId="Ttulo1">
    <w:name w:val="Heading 1"/>
    <w:basedOn w:val="Normal"/>
    <w:next w:val="Normal"/>
    <w:qFormat/>
    <w:pPr>
      <w:keepNext w:val="true"/>
      <w:numPr>
        <w:ilvl w:val="0"/>
        <w:numId w:val="1"/>
      </w:numPr>
      <w:tabs>
        <w:tab w:val="clear" w:pos="720"/>
      </w:tabs>
      <w:suppressAutoHyphens w:val="true"/>
      <w:ind w:left="3969" w:hanging="0"/>
      <w:jc w:val="both"/>
      <w:outlineLvl w:val="0"/>
    </w:pPr>
    <w:rPr>
      <w:b/>
      <w:bCs/>
      <w:u w:val="single"/>
    </w:rPr>
  </w:style>
  <w:style w:type="paragraph" w:styleId="Ttulo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uppressAutoHyphens w:val="true"/>
      <w:spacing w:before="360" w:after="80"/>
      <w:outlineLvl w:val="1"/>
    </w:pPr>
    <w:rPr>
      <w:b/>
      <w:bCs/>
      <w:sz w:val="36"/>
      <w:szCs w:val="36"/>
    </w:rPr>
  </w:style>
  <w:style w:type="paragraph" w:styleId="Ttulo3">
    <w:name w:val="Heading 3"/>
    <w:basedOn w:val="Normal"/>
    <w:next w:val="Normal"/>
    <w:qFormat/>
    <w:pPr>
      <w:keepNext w:val="true"/>
      <w:numPr>
        <w:ilvl w:val="2"/>
        <w:numId w:val="1"/>
      </w:numPr>
      <w:suppressAutoHyphens w:val="true"/>
      <w:spacing w:before="240" w:after="60"/>
      <w:outlineLvl w:val="2"/>
    </w:pPr>
    <w:rPr>
      <w:rFonts w:ascii="Calibri" w:hAnsi="Calibri" w:eastAsia="Calibri" w:cs="Calibri"/>
      <w:b/>
      <w:bCs/>
      <w:sz w:val="26"/>
      <w:szCs w:val="26"/>
    </w:rPr>
  </w:style>
  <w:style w:type="paragraph" w:styleId="Ttulo4">
    <w:name w:val="Heading 4"/>
    <w:basedOn w:val="Normal"/>
    <w:next w:val="Normal"/>
    <w:qFormat/>
    <w:pPr>
      <w:keepNext w:val="true"/>
      <w:keepLines/>
      <w:numPr>
        <w:ilvl w:val="3"/>
        <w:numId w:val="1"/>
      </w:numPr>
      <w:suppressAutoHyphens w:val="true"/>
      <w:spacing w:before="240" w:after="40"/>
      <w:outlineLvl w:val="3"/>
    </w:pPr>
    <w:rPr>
      <w:b/>
      <w:bCs/>
    </w:rPr>
  </w:style>
  <w:style w:type="paragraph" w:styleId="Ttulo5">
    <w:name w:val="Heading 5"/>
    <w:basedOn w:val="Normal"/>
    <w:next w:val="Normal"/>
    <w:qFormat/>
    <w:pPr>
      <w:keepNext w:val="true"/>
      <w:keepLines/>
      <w:numPr>
        <w:ilvl w:val="4"/>
        <w:numId w:val="1"/>
      </w:numPr>
      <w:suppressAutoHyphens w:val="true"/>
      <w:spacing w:before="220" w:after="40"/>
      <w:outlineLvl w:val="4"/>
    </w:pPr>
    <w:rPr>
      <w:b/>
      <w:bCs/>
      <w:sz w:val="22"/>
      <w:szCs w:val="22"/>
    </w:rPr>
  </w:style>
  <w:style w:type="paragraph" w:styleId="Ttulo6">
    <w:name w:val="Heading 6"/>
    <w:basedOn w:val="Normal"/>
    <w:next w:val="Normal"/>
    <w:qFormat/>
    <w:pPr>
      <w:keepNext w:val="true"/>
      <w:keepLines/>
      <w:numPr>
        <w:ilvl w:val="5"/>
        <w:numId w:val="1"/>
      </w:numPr>
      <w:suppressAutoHyphens w:val="true"/>
      <w:spacing w:before="200" w:after="40"/>
      <w:outlineLvl w:val="5"/>
    </w:pPr>
    <w:rPr>
      <w:b/>
      <w:bCs/>
      <w:sz w:val="20"/>
      <w:szCs w:val="20"/>
    </w:rPr>
  </w:style>
  <w:style w:type="character" w:styleId="Fontepargpadro">
    <w:name w:val="Fonte parág. padrão"/>
    <w:qFormat/>
    <w:rPr/>
  </w:style>
  <w:style w:type="character" w:styleId="CabealhoChar">
    <w:name w:val="Cabeçalho Char"/>
    <w:qFormat/>
    <w:rPr>
      <w:w w:val="100"/>
      <w:position w:val="0"/>
      <w:sz w:val="24"/>
      <w:sz w:val="24"/>
      <w:szCs w:val="24"/>
      <w:vertAlign w:val="baseline"/>
      <w:em w:val="none"/>
    </w:rPr>
  </w:style>
  <w:style w:type="character" w:styleId="RodapChar">
    <w:name w:val="Rodapé Char"/>
    <w:qFormat/>
    <w:rPr>
      <w:w w:val="100"/>
      <w:position w:val="0"/>
      <w:sz w:val="24"/>
      <w:sz w:val="24"/>
      <w:szCs w:val="24"/>
      <w:vertAlign w:val="baseline"/>
      <w:em w:val="none"/>
    </w:rPr>
  </w:style>
  <w:style w:type="character" w:styleId="TextodebaloChar">
    <w:name w:val="Texto de balão Char"/>
    <w:qFormat/>
    <w:rPr>
      <w:rFonts w:ascii="Segoe UI" w:hAnsi="Segoe UI" w:eastAsia="Segoe UI" w:cs="Segoe UI"/>
      <w:w w:val="100"/>
      <w:position w:val="0"/>
      <w:sz w:val="18"/>
      <w:sz w:val="18"/>
      <w:szCs w:val="18"/>
      <w:vertAlign w:val="baseline"/>
      <w:em w:val="none"/>
    </w:rPr>
  </w:style>
  <w:style w:type="character" w:styleId="Ttulo3Char">
    <w:name w:val="Título 3 Char"/>
    <w:qFormat/>
    <w:rPr>
      <w:rFonts w:ascii="Calibri Light" w:hAnsi="Calibri Light" w:eastAsia="Times New Roman" w:cs="Times New Roman"/>
      <w:b/>
      <w:bCs/>
      <w:w w:val="100"/>
      <w:position w:val="0"/>
      <w:sz w:val="26"/>
      <w:sz w:val="26"/>
      <w:szCs w:val="26"/>
      <w:vertAlign w:val="baseline"/>
      <w:em w:val="none"/>
    </w:rPr>
  </w:style>
  <w:style w:type="character" w:styleId="Recuodecorpodetexto3Char">
    <w:name w:val="Recuo de corpo de texto 3 Char"/>
    <w:qFormat/>
    <w:rPr>
      <w:w w:val="100"/>
      <w:position w:val="0"/>
      <w:sz w:val="16"/>
      <w:sz w:val="16"/>
      <w:szCs w:val="16"/>
      <w:vertAlign w:val="baseline"/>
      <w:em w:val="none"/>
    </w:rPr>
  </w:style>
  <w:style w:type="character" w:styleId="TextodenotaderodapChar">
    <w:name w:val="Texto de nota de rodapé Char"/>
    <w:basedOn w:val="Fontepargpadro"/>
    <w:qFormat/>
    <w:rPr>
      <w:sz w:val="20"/>
      <w:szCs w:val="20"/>
      <w:vertAlign w:val="subscript"/>
    </w:rPr>
  </w:style>
  <w:style w:type="character" w:styleId="Caracteresdenotaderodap">
    <w:name w:val="Caracteres de nota de rodapé"/>
    <w:qFormat/>
    <w:rPr>
      <w:vertAlign w:val="superscript"/>
    </w:rPr>
  </w:style>
  <w:style w:type="character" w:styleId="Ncoradanotaderodap">
    <w:name w:val="Footnote Reference"/>
    <w:rPr>
      <w:vertAlign w:val="superscript"/>
    </w:rPr>
  </w:style>
  <w:style w:type="character" w:styleId="LinkdaInternet">
    <w:name w:val="Hyperlink"/>
    <w:basedOn w:val="Fontepargpadro"/>
    <w:rPr>
      <w:color w:val="0000FF"/>
      <w:u w:val="single"/>
    </w:rPr>
  </w:style>
  <w:style w:type="character" w:styleId="MenoPendente1">
    <w:name w:val="Menção Pendente1"/>
    <w:basedOn w:val="Fontepargpadro"/>
    <w:qFormat/>
    <w:rPr>
      <w:color w:val="605E5C"/>
      <w:shd w:fill="E1DFDD" w:val="clear"/>
    </w:rPr>
  </w:style>
  <w:style w:type="character" w:styleId="CorpodetextoChar">
    <w:name w:val="Corpo de texto Char"/>
    <w:basedOn w:val="Fontepargpadro"/>
    <w:qFormat/>
    <w:rPr>
      <w:vertAlign w:val="subscript"/>
    </w:rPr>
  </w:style>
  <w:style w:type="character" w:styleId="WWCharLFO2LVL1">
    <w:name w:val="WW_CharLFO2LVL1"/>
    <w:qFormat/>
    <w:rPr>
      <w:u w:val="none"/>
    </w:rPr>
  </w:style>
  <w:style w:type="character" w:styleId="WWCharLFO2LVL2">
    <w:name w:val="WW_CharLFO2LVL2"/>
    <w:qFormat/>
    <w:rPr>
      <w:u w:val="none"/>
    </w:rPr>
  </w:style>
  <w:style w:type="character" w:styleId="WWCharLFO2LVL3">
    <w:name w:val="WW_CharLFO2LVL3"/>
    <w:qFormat/>
    <w:rPr>
      <w:u w:val="none"/>
    </w:rPr>
  </w:style>
  <w:style w:type="character" w:styleId="WWCharLFO2LVL4">
    <w:name w:val="WW_CharLFO2LVL4"/>
    <w:qFormat/>
    <w:rPr>
      <w:u w:val="none"/>
    </w:rPr>
  </w:style>
  <w:style w:type="character" w:styleId="WWCharLFO2LVL5">
    <w:name w:val="WW_CharLFO2LVL5"/>
    <w:qFormat/>
    <w:rPr>
      <w:u w:val="none"/>
    </w:rPr>
  </w:style>
  <w:style w:type="character" w:styleId="WWCharLFO2LVL6">
    <w:name w:val="WW_CharLFO2LVL6"/>
    <w:qFormat/>
    <w:rPr>
      <w:u w:val="none"/>
    </w:rPr>
  </w:style>
  <w:style w:type="character" w:styleId="WWCharLFO2LVL7">
    <w:name w:val="WW_CharLFO2LVL7"/>
    <w:qFormat/>
    <w:rPr>
      <w:u w:val="none"/>
    </w:rPr>
  </w:style>
  <w:style w:type="character" w:styleId="WWCharLFO2LVL8">
    <w:name w:val="WW_CharLFO2LVL8"/>
    <w:qFormat/>
    <w:rPr>
      <w:u w:val="none"/>
    </w:rPr>
  </w:style>
  <w:style w:type="character" w:styleId="WWCharLFO2LVL9">
    <w:name w:val="WW_CharLFO2LVL9"/>
    <w:qFormat/>
    <w:rPr>
      <w:u w:val="none"/>
    </w:rPr>
  </w:style>
  <w:style w:type="character" w:styleId="WWCharLFO5LVL1">
    <w:name w:val="WW_CharLFO5LVL1"/>
    <w:qFormat/>
    <w:rPr>
      <w:rFonts w:ascii="Wingdings" w:hAnsi="Wingdings"/>
    </w:rPr>
  </w:style>
  <w:style w:type="character" w:styleId="WWCharLFO5LVL2">
    <w:name w:val="WW_CharLFO5LVL2"/>
    <w:qFormat/>
    <w:rPr>
      <w:rFonts w:ascii="Courier New" w:hAnsi="Courier New" w:cs="Courier New"/>
    </w:rPr>
  </w:style>
  <w:style w:type="character" w:styleId="WWCharLFO5LVL3">
    <w:name w:val="WW_CharLFO5LVL3"/>
    <w:qFormat/>
    <w:rPr>
      <w:rFonts w:ascii="Wingdings" w:hAnsi="Wingdings"/>
    </w:rPr>
  </w:style>
  <w:style w:type="character" w:styleId="WWCharLFO5LVL4">
    <w:name w:val="WW_CharLFO5LVL4"/>
    <w:qFormat/>
    <w:rPr>
      <w:rFonts w:ascii="Symbol" w:hAnsi="Symbol"/>
    </w:rPr>
  </w:style>
  <w:style w:type="character" w:styleId="WWCharLFO5LVL5">
    <w:name w:val="WW_CharLFO5LVL5"/>
    <w:qFormat/>
    <w:rPr>
      <w:rFonts w:ascii="Courier New" w:hAnsi="Courier New" w:cs="Courier New"/>
    </w:rPr>
  </w:style>
  <w:style w:type="character" w:styleId="WWCharLFO5LVL6">
    <w:name w:val="WW_CharLFO5LVL6"/>
    <w:qFormat/>
    <w:rPr>
      <w:rFonts w:ascii="Wingdings" w:hAnsi="Wingdings"/>
    </w:rPr>
  </w:style>
  <w:style w:type="character" w:styleId="WWCharLFO5LVL7">
    <w:name w:val="WW_CharLFO5LVL7"/>
    <w:qFormat/>
    <w:rPr>
      <w:rFonts w:ascii="Symbol" w:hAnsi="Symbol"/>
    </w:rPr>
  </w:style>
  <w:style w:type="character" w:styleId="WWCharLFO5LVL8">
    <w:name w:val="WW_CharLFO5LVL8"/>
    <w:qFormat/>
    <w:rPr>
      <w:rFonts w:ascii="Courier New" w:hAnsi="Courier New" w:cs="Courier New"/>
    </w:rPr>
  </w:style>
  <w:style w:type="character" w:styleId="WWCharLFO5LVL9">
    <w:name w:val="WW_CharLFO5LVL9"/>
    <w:qFormat/>
    <w:rPr>
      <w:rFonts w:ascii="Wingdings" w:hAnsi="Wingdings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Normal"/>
    <w:qFormat/>
    <w:pPr>
      <w:keepNext w:val="true"/>
      <w:keepLines/>
      <w:suppressAutoHyphens w:val="true"/>
      <w:spacing w:before="480" w:after="120"/>
    </w:pPr>
    <w:rPr>
      <w:b/>
      <w:bCs/>
      <w:sz w:val="72"/>
      <w:szCs w:val="72"/>
    </w:rPr>
  </w:style>
  <w:style w:type="paragraph" w:styleId="Corpodotexto">
    <w:name w:val="Body Text"/>
    <w:basedOn w:val="Normal"/>
    <w:pPr>
      <w:suppressAutoHyphens w:val="true"/>
      <w:spacing w:before="0" w:after="120"/>
    </w:pPr>
    <w:rPr/>
  </w:style>
  <w:style w:type="paragraph" w:styleId="Lista">
    <w:name w:val="List"/>
    <w:basedOn w:val="Corpodotexto"/>
    <w:pPr>
      <w:suppressAutoHyphens w:val="true"/>
    </w:pPr>
    <w:rPr>
      <w:rFonts w:cs="Lucida Sans"/>
    </w:rPr>
  </w:style>
  <w:style w:type="paragraph" w:styleId="Legenda">
    <w:name w:val="Caption"/>
    <w:basedOn w:val="Normal"/>
    <w:qFormat/>
    <w:pPr>
      <w:suppressLineNumbers/>
      <w:suppressAutoHyphens w:val="true"/>
      <w:spacing w:before="120" w:after="120"/>
    </w:pPr>
    <w:rPr>
      <w:rFonts w:cs="Lucida Sans"/>
      <w:i/>
      <w:iCs/>
    </w:rPr>
  </w:style>
  <w:style w:type="paragraph" w:styleId="Ndice">
    <w:name w:val="Índice"/>
    <w:basedOn w:val="Normal"/>
    <w:qFormat/>
    <w:pPr>
      <w:suppressLineNumbers/>
      <w:suppressAutoHyphens w:val="true"/>
    </w:pPr>
    <w:rPr>
      <w:rFonts w:cs="Lucida Sans"/>
    </w:rPr>
  </w:style>
  <w:style w:type="paragraph" w:styleId="LO-Normal0">
    <w:name w:val="LO-Normal0"/>
    <w:qFormat/>
    <w:pPr>
      <w:keepNext w:val="false"/>
      <w:keepLines w:val="false"/>
      <w:pageBreakBefore w:val="false"/>
      <w:widowControl w:val="false"/>
      <w:shd w:val="clear" w:fill="auto"/>
      <w:suppressAutoHyphens w:val="true"/>
      <w:overflowPunct w:val="true"/>
      <w:bidi w:val="0"/>
      <w:snapToGrid w:val="true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pt-BR" w:eastAsia="pt-BR" w:bidi="ar-SA"/>
    </w:rPr>
  </w:style>
  <w:style w:type="paragraph" w:styleId="Corpodotextorecuado">
    <w:name w:val="Body Text Indent"/>
    <w:basedOn w:val="Normal"/>
    <w:pPr>
      <w:tabs>
        <w:tab w:val="clear" w:pos="720"/>
      </w:tabs>
      <w:suppressAutoHyphens w:val="true"/>
      <w:ind w:left="851" w:firstLine="3118"/>
      <w:jc w:val="both"/>
    </w:pPr>
    <w:rPr>
      <w:sz w:val="28"/>
      <w:szCs w:val="20"/>
    </w:rPr>
  </w:style>
  <w:style w:type="paragraph" w:styleId="Recuodecorpodetexto2">
    <w:name w:val="Recuo de corpo de texto 2"/>
    <w:basedOn w:val="Normal"/>
    <w:qFormat/>
    <w:pPr>
      <w:tabs>
        <w:tab w:val="clear" w:pos="720"/>
      </w:tabs>
      <w:suppressAutoHyphens w:val="true"/>
      <w:ind w:left="1080" w:firstLine="2889"/>
      <w:jc w:val="both"/>
    </w:pPr>
    <w:rPr>
      <w:bCs/>
      <w:sz w:val="25"/>
      <w:szCs w:val="28"/>
    </w:rPr>
  </w:style>
  <w:style w:type="paragraph" w:styleId="CabealhoeRodap">
    <w:name w:val="Cabeçalho e Rodapé"/>
    <w:basedOn w:val="Normal"/>
    <w:qFormat/>
    <w:pPr>
      <w:suppressAutoHyphens w:val="true"/>
    </w:pPr>
    <w:rPr/>
  </w:style>
  <w:style w:type="paragraph" w:styleId="Cabealho">
    <w:name w:val="Header"/>
    <w:basedOn w:val="Normal"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Rodap">
    <w:name w:val="Footer"/>
    <w:basedOn w:val="Normal"/>
    <w:pPr>
      <w:tabs>
        <w:tab w:val="clear" w:pos="720"/>
        <w:tab w:val="center" w:pos="4252" w:leader="none"/>
        <w:tab w:val="right" w:pos="8504" w:leader="none"/>
      </w:tabs>
      <w:suppressAutoHyphens w:val="true"/>
    </w:pPr>
    <w:rPr/>
  </w:style>
  <w:style w:type="paragraph" w:styleId="Textodebalo">
    <w:name w:val="Texto de balão"/>
    <w:basedOn w:val="Normal"/>
    <w:qFormat/>
    <w:pPr>
      <w:suppressAutoHyphens w:val="true"/>
    </w:pPr>
    <w:rPr>
      <w:rFonts w:ascii="Segoe UI" w:hAnsi="Segoe UI" w:eastAsia="Segoe UI" w:cs="Segoe UI"/>
      <w:sz w:val="18"/>
      <w:szCs w:val="18"/>
    </w:rPr>
  </w:style>
  <w:style w:type="paragraph" w:styleId="Recuodecorpodetexto3">
    <w:name w:val="Recuo de corpo de texto 3"/>
    <w:basedOn w:val="Normal"/>
    <w:qFormat/>
    <w:pPr>
      <w:tabs>
        <w:tab w:val="clear" w:pos="720"/>
      </w:tabs>
      <w:suppressAutoHyphens w:val="true"/>
      <w:spacing w:before="0" w:after="120"/>
      <w:ind w:left="283" w:hanging="0"/>
    </w:pPr>
    <w:rPr>
      <w:sz w:val="16"/>
      <w:szCs w:val="16"/>
    </w:rPr>
  </w:style>
  <w:style w:type="paragraph" w:styleId="Default">
    <w:name w:val="Default"/>
    <w:qFormat/>
    <w:pPr>
      <w:keepNext w:val="false"/>
      <w:keepLines w:val="false"/>
      <w:pageBreakBefore w:val="false"/>
      <w:widowControl/>
      <w:shd w:val="clear" w:fill="auto"/>
      <w:suppressAutoHyphens w:val="true"/>
      <w:overflowPunct w:val="true"/>
      <w:bidi w:val="0"/>
      <w:snapToGrid w:val="true"/>
      <w:spacing w:lineRule="atLeast" w:line="1" w:before="0" w:after="0"/>
      <w:jc w:val="left"/>
      <w:textAlignment w:val="top"/>
      <w:outlineLvl w:val="0"/>
    </w:pPr>
    <w:rPr>
      <w:rFonts w:ascii="Nyala" w:hAnsi="Nyala" w:eastAsia="Calibri" w:cs="Nyal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pt-BR" w:eastAsia="en-US" w:bidi="ar-SA"/>
    </w:rPr>
  </w:style>
  <w:style w:type="paragraph" w:styleId="PargrafodaLista">
    <w:name w:val="Parágrafo da Lista"/>
    <w:basedOn w:val="Normal"/>
    <w:qFormat/>
    <w:pPr>
      <w:tabs>
        <w:tab w:val="clear" w:pos="720"/>
      </w:tabs>
      <w:suppressAutoHyphens w:val="true"/>
      <w:ind w:left="720" w:hanging="0"/>
    </w:pPr>
    <w:rPr/>
  </w:style>
  <w:style w:type="paragraph" w:styleId="Notaderodap">
    <w:name w:val="Footnote Text"/>
    <w:basedOn w:val="Normal"/>
    <w:pPr>
      <w:suppressAutoHyphens w:val="true"/>
    </w:pPr>
    <w:rPr>
      <w:sz w:val="20"/>
      <w:szCs w:val="20"/>
    </w:rPr>
  </w:style>
  <w:style w:type="paragraph" w:styleId="LO-Normal">
    <w:name w:val="LO-Normal"/>
    <w:qFormat/>
    <w:pPr>
      <w:keepNext w:val="false"/>
      <w:keepLines w:val="false"/>
      <w:pageBreakBefore w:val="false"/>
      <w:widowControl w:val="false"/>
      <w:shd w:val="clear" w:fill="auto"/>
      <w:suppressAutoHyphens w:val="true"/>
      <w:overflowPunct w:val="true"/>
      <w:bidi w:val="0"/>
      <w:snapToGrid w:val="true"/>
      <w:spacing w:lineRule="auto" w:line="240" w:before="0" w:after="0"/>
      <w:ind w:hanging="1"/>
      <w:jc w:val="left"/>
      <w:textAlignment w:val="baseline"/>
    </w:pPr>
    <w:rPr>
      <w:rFonts w:ascii="Times New Roman" w:hAnsi="Times New Roman" w:eastAsia="SimSun" w:cs="Tahoma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000000"/>
      <w:spacing w:val="0"/>
      <w:w w:val="100"/>
      <w:kern w:val="2"/>
      <w:position w:val="0"/>
      <w:sz w:val="24"/>
      <w:sz w:val="24"/>
      <w:szCs w:val="24"/>
      <w:u w:val="none"/>
      <w:shd w:fill="auto" w:val="clear"/>
      <w:vertAlign w:val="baseline"/>
      <w:em w:val="none"/>
      <w:lang w:val="pt-BR" w:eastAsia="hi-IN" w:bidi="hi-IN"/>
    </w:rPr>
  </w:style>
  <w:style w:type="paragraph" w:styleId="Subttulo">
    <w:name w:val="Subtitle"/>
    <w:basedOn w:val="Normal"/>
    <w:next w:val="Normal"/>
    <w:qFormat/>
    <w:pPr>
      <w:keepNext w:val="true"/>
      <w:keepLines/>
      <w:suppressAutoHyphens w:val="true"/>
      <w:spacing w:before="360" w:after="80"/>
    </w:pPr>
    <w:rPr>
      <w:rFonts w:ascii="Georgia" w:hAnsi="Georgia" w:eastAsia="Georgia" w:cs="Georgia"/>
      <w:i/>
      <w:iCs/>
      <w:color w:val="666666"/>
      <w:sz w:val="48"/>
      <w:szCs w:val="48"/>
    </w:rPr>
  </w:style>
  <w:style w:type="paragraph" w:styleId="Contedodoquadro">
    <w:name w:val="Conteúdo do quadro"/>
    <w:basedOn w:val="LO-Normal0"/>
    <w:qFormat/>
    <w:pPr>
      <w:widowControl/>
      <w:suppressAutoHyphens w:val="false"/>
      <w:textAlignment w:val="auto"/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numbering" w:styleId="Semlista">
    <w:name w:val="Sem lista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243</TotalTime>
  <Application>LibreOffice/7.5.0.3$Windows_X86_64 LibreOffice_project/c21113d003cd3efa8c53188764377a8272d9d6de</Application>
  <AppVersion>15.0000</AppVersion>
  <Pages>5</Pages>
  <Words>1338</Words>
  <Characters>8192</Characters>
  <CharactersWithSpaces>9471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2026-02-03T19:52:00Z</dcterms:created>
  <dc:creator>x</dc:creator>
  <dc:description/>
  <dc:language>pt-BR</dc:language>
  <cp:lastModifiedBy/>
  <cp:lastPrinted>2026-03-09T16:11:31Z</cp:lastPrinted>
  <dcterms:modified xsi:type="dcterms:W3CDTF">2026-03-11T08:18:10Z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